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C2" w:rsidRDefault="00647DB9" w:rsidP="00F22454">
      <w:r w:rsidRPr="00647DB9">
        <w:rPr>
          <w:b/>
        </w:rPr>
        <w:t>Назначение:</w:t>
      </w:r>
      <w:r>
        <w:t xml:space="preserve"> </w:t>
      </w:r>
      <w:proofErr w:type="spellStart"/>
      <w:r w:rsidR="00413ADA" w:rsidRPr="00413ADA">
        <w:t>Антиплесень</w:t>
      </w:r>
      <w:proofErr w:type="spellEnd"/>
      <w:r w:rsidR="00413ADA" w:rsidRPr="00413ADA">
        <w:t xml:space="preserve"> применяется для обработки деревянных, бетонных, кирпичных и других поверхностей, обладающих впитывающей способностью, с целью профилактики и уничтожения микроорганизмов (плесень, грибок, водоросли, синева) в жилых помещениях и в местах с повышенной влажностью (ванные комнаты, подвалы, погреба, парники и др.). Рекомендуется добавлять в меловые и цементные растворы, а также в водорастворимые краски.</w:t>
      </w:r>
      <w:r w:rsidR="00413ADA">
        <w:t xml:space="preserve"> </w:t>
      </w:r>
      <w:r w:rsidR="006559C2" w:rsidRPr="006559C2">
        <w:t xml:space="preserve">Может добавляться в </w:t>
      </w:r>
      <w:proofErr w:type="spellStart"/>
      <w:r w:rsidR="006559C2" w:rsidRPr="006559C2">
        <w:t>немодифицированные</w:t>
      </w:r>
      <w:proofErr w:type="spellEnd"/>
      <w:r w:rsidR="006559C2" w:rsidRPr="006559C2">
        <w:t xml:space="preserve"> </w:t>
      </w:r>
      <w:proofErr w:type="spellStart"/>
      <w:r w:rsidR="006559C2" w:rsidRPr="006559C2">
        <w:t>штукатурочные</w:t>
      </w:r>
      <w:proofErr w:type="spellEnd"/>
      <w:r w:rsidR="006559C2" w:rsidRPr="006559C2">
        <w:t xml:space="preserve">, кладочные растворы, шпатлевку в качестве биоцидной добавки вместо воды </w:t>
      </w:r>
      <w:proofErr w:type="spellStart"/>
      <w:r w:rsidR="006559C2" w:rsidRPr="006559C2">
        <w:t>затворения</w:t>
      </w:r>
      <w:proofErr w:type="spellEnd"/>
      <w:r w:rsidR="006559C2" w:rsidRPr="006559C2">
        <w:t>.</w:t>
      </w:r>
      <w:r w:rsidR="00F22454">
        <w:t xml:space="preserve"> Средство отлично санирует поверхности стен, кирпичной кладки, потолков, межпанельных швов. Обладает долговременным эффектом. </w:t>
      </w:r>
    </w:p>
    <w:p w:rsidR="007A6A20" w:rsidRDefault="007A6A20">
      <w:r>
        <w:rPr>
          <w:b/>
        </w:rPr>
        <w:t>Преимущества:</w:t>
      </w:r>
    </w:p>
    <w:p w:rsidR="007A6A20" w:rsidRDefault="00413ADA">
      <w:r>
        <w:t>-  длительная защита</w:t>
      </w:r>
      <w:r w:rsidR="007A6A20">
        <w:t>;</w:t>
      </w:r>
    </w:p>
    <w:p w:rsidR="00413ADA" w:rsidRDefault="00413ADA" w:rsidP="00413ADA">
      <w:r>
        <w:t>- профилактическая защита от микроорганизмов (плесень, грибок)</w:t>
      </w:r>
    </w:p>
    <w:p w:rsidR="00413ADA" w:rsidRDefault="00413ADA" w:rsidP="00413ADA">
      <w:r>
        <w:t>- прекрасная адгезия</w:t>
      </w:r>
    </w:p>
    <w:p w:rsidR="00413ADA" w:rsidRDefault="00413ADA" w:rsidP="00413ADA">
      <w:r>
        <w:t xml:space="preserve">- хорошая </w:t>
      </w:r>
      <w:proofErr w:type="spellStart"/>
      <w:r>
        <w:t>атмосферостойкость</w:t>
      </w:r>
      <w:proofErr w:type="spellEnd"/>
    </w:p>
    <w:p w:rsidR="00413ADA" w:rsidRDefault="00413ADA" w:rsidP="00413ADA">
      <w:r>
        <w:t>- п</w:t>
      </w:r>
      <w:r w:rsidR="00633ADC">
        <w:t>ростая обработка</w:t>
      </w:r>
    </w:p>
    <w:p w:rsidR="00413ADA" w:rsidRDefault="00413ADA" w:rsidP="00413ADA">
      <w:r>
        <w:t>- не отслаивается</w:t>
      </w:r>
    </w:p>
    <w:p w:rsidR="006559C2" w:rsidRDefault="00413ADA" w:rsidP="00413ADA">
      <w:r>
        <w:t xml:space="preserve">- допускает покрытие </w:t>
      </w:r>
      <w:proofErr w:type="gramStart"/>
      <w:r>
        <w:t>водо-растворимыми</w:t>
      </w:r>
      <w:proofErr w:type="gramEnd"/>
      <w:r>
        <w:t xml:space="preserve"> красками.</w:t>
      </w:r>
    </w:p>
    <w:p w:rsidR="00F22454" w:rsidRDefault="006559C2" w:rsidP="00F22454">
      <w:r>
        <w:rPr>
          <w:b/>
        </w:rPr>
        <w:t>Способ применения</w:t>
      </w:r>
      <w:r w:rsidR="007A6A20">
        <w:rPr>
          <w:b/>
        </w:rPr>
        <w:t xml:space="preserve">: </w:t>
      </w:r>
    </w:p>
    <w:p w:rsidR="00F22454" w:rsidRDefault="006559C2" w:rsidP="00F22454">
      <w:r w:rsidRPr="006559C2">
        <w:t xml:space="preserve">Наносить </w:t>
      </w:r>
      <w:r w:rsidR="00796E4B">
        <w:t>средство</w:t>
      </w:r>
      <w:r w:rsidRPr="006559C2">
        <w:t xml:space="preserve"> кистью, валиком, распылителем за 2-3 раза после высыхания каждого предыдущего слоя. При обработке уже пораженной поверхности - нанести </w:t>
      </w:r>
      <w:r w:rsidR="00796E4B">
        <w:t>средство</w:t>
      </w:r>
      <w:r w:rsidRPr="006559C2">
        <w:t>, через 24 часа очистить поверхность и повторить обработку. При обработке минеральных поверхностей подверженных непосредственному воздействию воды – перекрыть после высыхания гидрофобизатором ГКЖ-11 или водостойкими лакокрасочными материалами. Средний расход 100-150 гр./кв. м по минеральным основаниям и 200-300 гр./кв. м по древесине. При использовании в качестве биоцидной добавки в растворные смеси опробовать на небольшом количестве на совместимость.</w:t>
      </w:r>
    </w:p>
    <w:p w:rsidR="00F22454" w:rsidRDefault="00F22454" w:rsidP="00F22454">
      <w:r>
        <w:t>Водорастворимая краска: добавить средства объемом 250 мл на 20 л краски и тщательно перемешать.</w:t>
      </w:r>
    </w:p>
    <w:p w:rsidR="00F22454" w:rsidRDefault="00F22454" w:rsidP="00F22454">
      <w:r>
        <w:t xml:space="preserve">Добавка в штукатурку: 250 мл средства хватает для 10 л воды. Затирка или штукатурка замешиваются на полученном растворе. </w:t>
      </w:r>
    </w:p>
    <w:p w:rsidR="00F22454" w:rsidRDefault="00F22454" w:rsidP="00F22454">
      <w:r>
        <w:t xml:space="preserve">Затирка для швов: 50 мл добавляется в воду для </w:t>
      </w:r>
      <w:proofErr w:type="spellStart"/>
      <w:r>
        <w:t>затворения</w:t>
      </w:r>
      <w:proofErr w:type="spellEnd"/>
      <w:r>
        <w:t xml:space="preserve"> на 5 кг сухой массы.</w:t>
      </w:r>
    </w:p>
    <w:p w:rsidR="004E6B72" w:rsidRDefault="00F22454">
      <w:r>
        <w:t xml:space="preserve">Добавка к обойному клею: в жидкость для замешивания клея добавить примерно 25-30 мл активного средства на 1 л воды, после чего согласно инструкции приготовить клей.  </w:t>
      </w:r>
    </w:p>
    <w:p w:rsidR="009C723C" w:rsidRDefault="009C723C">
      <w:r>
        <w:rPr>
          <w:b/>
        </w:rPr>
        <w:t xml:space="preserve">Меры предосторожности: </w:t>
      </w:r>
      <w:r>
        <w:t xml:space="preserve">При работе использовать средства защиты кожи, глаз и органов дыхания (резиновые перчатки, спецодежда, очки, респиратор). При попадании на кожу, слизистые, глаза – немедленно промыть большим количеством проточной воды в течение 10-15 минут. В случае необходимости обратиться за медицинской помощью. </w:t>
      </w:r>
    </w:p>
    <w:p w:rsidR="009C723C" w:rsidRDefault="009C723C">
      <w:r>
        <w:rPr>
          <w:b/>
        </w:rPr>
        <w:t xml:space="preserve">Опасность: </w:t>
      </w:r>
      <w:r>
        <w:t xml:space="preserve">Возможно раздражающее действие на кожные покровы. </w:t>
      </w:r>
    </w:p>
    <w:p w:rsidR="009C723C" w:rsidRDefault="009C723C">
      <w:r>
        <w:rPr>
          <w:b/>
        </w:rPr>
        <w:t xml:space="preserve">Хранение и транспортировка: </w:t>
      </w:r>
      <w:r>
        <w:t xml:space="preserve">Транспортировать и хранить при температуре от +5°С до +40°С, в герметично закрытой оригинальной таре, отдельно от пищевых продуктов, в прохладном проветриваемом помещении, в недоступном для детей и животных месте. Не допускать нагрева и воздействия прямых солнечных лучей. Состав сохраняет свои свойства после кратковременного замораживания. Утилизировать в соответствии с </w:t>
      </w:r>
      <w:proofErr w:type="spellStart"/>
      <w:r>
        <w:t>СанПин</w:t>
      </w:r>
      <w:proofErr w:type="spellEnd"/>
      <w:r>
        <w:t xml:space="preserve"> 2.1.7.1322-03</w:t>
      </w:r>
    </w:p>
    <w:p w:rsidR="009C723C" w:rsidRDefault="00F22454">
      <w:pPr>
        <w:rPr>
          <w:b/>
        </w:rPr>
      </w:pPr>
      <w:r>
        <w:rPr>
          <w:b/>
        </w:rPr>
        <w:lastRenderedPageBreak/>
        <w:t>Срок хранения: 36</w:t>
      </w:r>
      <w:r w:rsidR="009C723C">
        <w:rPr>
          <w:b/>
        </w:rPr>
        <w:t xml:space="preserve"> м</w:t>
      </w:r>
      <w:r>
        <w:rPr>
          <w:b/>
        </w:rPr>
        <w:t>есяцев</w:t>
      </w:r>
    </w:p>
    <w:p w:rsidR="009C723C" w:rsidRPr="001D476F" w:rsidRDefault="00D94B2D" w:rsidP="001D476F">
      <w:pPr>
        <w:rPr>
          <w:b/>
        </w:rPr>
      </w:pPr>
      <w:r>
        <w:rPr>
          <w:b/>
        </w:rPr>
        <w:t xml:space="preserve">Состав: </w:t>
      </w:r>
      <w:r w:rsidR="001D476F" w:rsidRPr="001D476F">
        <w:rPr>
          <w:b/>
        </w:rPr>
        <w:t xml:space="preserve">водный раствор активных целевых </w:t>
      </w:r>
      <w:r w:rsidR="001D476F">
        <w:rPr>
          <w:b/>
        </w:rPr>
        <w:t>антисептических</w:t>
      </w:r>
      <w:r w:rsidR="001D476F" w:rsidRPr="001D476F">
        <w:rPr>
          <w:b/>
        </w:rPr>
        <w:t xml:space="preserve"> компонентов</w:t>
      </w:r>
    </w:p>
    <w:p w:rsidR="009C723C" w:rsidRDefault="009C723C">
      <w:pPr>
        <w:rPr>
          <w:b/>
        </w:rPr>
      </w:pPr>
      <w:r>
        <w:rPr>
          <w:b/>
        </w:rPr>
        <w:t xml:space="preserve">Изготовлен в соответствии с ТУ </w:t>
      </w:r>
      <w:r w:rsidR="00F36E9A">
        <w:rPr>
          <w:b/>
        </w:rPr>
        <w:t>20.20.14-004</w:t>
      </w:r>
      <w:bookmarkStart w:id="0" w:name="_GoBack"/>
      <w:bookmarkEnd w:id="0"/>
      <w:r w:rsidR="00F22454">
        <w:rPr>
          <w:b/>
        </w:rPr>
        <w:t>-24851300-2019</w:t>
      </w:r>
    </w:p>
    <w:p w:rsidR="00D94B2D" w:rsidRDefault="00E85B90">
      <w:pPr>
        <w:rPr>
          <w:b/>
        </w:rPr>
      </w:pPr>
      <w:r>
        <w:rPr>
          <w:b/>
        </w:rPr>
        <w:t xml:space="preserve">ПРОИЗВОДИТЕЛЬ: </w:t>
      </w:r>
      <w:r w:rsidR="00D94B2D">
        <w:rPr>
          <w:b/>
        </w:rPr>
        <w:t>ООО «</w:t>
      </w:r>
      <w:proofErr w:type="spellStart"/>
      <w:r w:rsidR="00D94B2D">
        <w:rPr>
          <w:b/>
        </w:rPr>
        <w:t>Альтерхим</w:t>
      </w:r>
      <w:proofErr w:type="spellEnd"/>
      <w:r w:rsidR="00D94B2D">
        <w:rPr>
          <w:b/>
        </w:rPr>
        <w:t xml:space="preserve">-Про» </w:t>
      </w:r>
    </w:p>
    <w:p w:rsidR="00E85B90" w:rsidRDefault="00D94B2D">
      <w:pPr>
        <w:rPr>
          <w:b/>
        </w:rPr>
      </w:pPr>
      <w:r w:rsidRPr="00D94B2D">
        <w:rPr>
          <w:b/>
        </w:rPr>
        <w:t xml:space="preserve">606000 РФ, Нижегородская область, город Дзержинск, территория Восточный промрайон </w:t>
      </w:r>
      <w:proofErr w:type="spellStart"/>
      <w:r w:rsidRPr="00D94B2D">
        <w:rPr>
          <w:b/>
        </w:rPr>
        <w:t>Химмаш</w:t>
      </w:r>
      <w:proofErr w:type="spellEnd"/>
      <w:r w:rsidRPr="00D94B2D">
        <w:rPr>
          <w:b/>
        </w:rPr>
        <w:t>, здание 547, корпус 1.</w:t>
      </w:r>
    </w:p>
    <w:p w:rsidR="00D94B2D" w:rsidRDefault="00D94B2D" w:rsidP="00D94B2D">
      <w:pPr>
        <w:rPr>
          <w:b/>
        </w:rPr>
      </w:pPr>
      <w:r w:rsidRPr="00D94B2D">
        <w:rPr>
          <w:b/>
        </w:rPr>
        <w:t>info@alterhimpro.ru</w:t>
      </w:r>
    </w:p>
    <w:p w:rsidR="00D94B2D" w:rsidRPr="009C723C" w:rsidRDefault="00D94B2D" w:rsidP="00D94B2D">
      <w:pPr>
        <w:rPr>
          <w:b/>
        </w:rPr>
      </w:pPr>
      <w:r w:rsidRPr="00D94B2D">
        <w:rPr>
          <w:b/>
        </w:rPr>
        <w:t>http://alterhimp</w:t>
      </w:r>
      <w:r>
        <w:rPr>
          <w:b/>
        </w:rPr>
        <w:t>ro.ru/</w:t>
      </w:r>
    </w:p>
    <w:p w:rsidR="007A6A20" w:rsidRPr="007A6A20" w:rsidRDefault="007A6A20"/>
    <w:sectPr w:rsidR="007A6A20" w:rsidRPr="007A6A20" w:rsidSect="000119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B9"/>
    <w:rsid w:val="0001190B"/>
    <w:rsid w:val="001D476F"/>
    <w:rsid w:val="00413ADA"/>
    <w:rsid w:val="004E6B72"/>
    <w:rsid w:val="00633ADC"/>
    <w:rsid w:val="00647DB9"/>
    <w:rsid w:val="006559C2"/>
    <w:rsid w:val="00796E4B"/>
    <w:rsid w:val="007A6A20"/>
    <w:rsid w:val="00952C93"/>
    <w:rsid w:val="009C723C"/>
    <w:rsid w:val="00BA32FE"/>
    <w:rsid w:val="00D94B2D"/>
    <w:rsid w:val="00E85B90"/>
    <w:rsid w:val="00F22454"/>
    <w:rsid w:val="00F3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F4494"/>
  <w15:chartTrackingRefBased/>
  <w15:docId w15:val="{92DF8CE1-0D3A-46CC-8FFB-A2E752BD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B2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cp:lastPrinted>2019-08-02T11:01:00Z</cp:lastPrinted>
  <dcterms:created xsi:type="dcterms:W3CDTF">2019-08-02T10:41:00Z</dcterms:created>
  <dcterms:modified xsi:type="dcterms:W3CDTF">2019-08-14T10:14:00Z</dcterms:modified>
</cp:coreProperties>
</file>